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eastAsia="创艺简标宋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eastAsia="创艺简标宋"/>
          <w:sz w:val="44"/>
        </w:rPr>
      </w:pPr>
      <w:r>
        <w:rPr>
          <w:rFonts w:hint="eastAsia" w:ascii="创艺简标宋" w:eastAsia="创艺简标宋"/>
          <w:sz w:val="44"/>
        </w:rPr>
        <w:t>2018年</w:t>
      </w:r>
      <w:r>
        <w:rPr>
          <w:rFonts w:hint="eastAsia" w:ascii="创艺简标宋" w:eastAsia="创艺简标宋"/>
          <w:sz w:val="44"/>
          <w:lang w:eastAsia="zh-CN"/>
        </w:rPr>
        <w:t>度</w:t>
      </w:r>
      <w:r>
        <w:rPr>
          <w:rFonts w:hint="eastAsia" w:ascii="创艺简标宋" w:eastAsia="创艺简标宋"/>
          <w:sz w:val="44"/>
        </w:rPr>
        <w:t>宁波市中小企业发展服务中心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eastAsia="创艺简标宋"/>
          <w:sz w:val="44"/>
        </w:rPr>
      </w:pPr>
      <w:r>
        <w:rPr>
          <w:rFonts w:hint="eastAsia" w:ascii="创艺简标宋" w:eastAsia="创艺简标宋"/>
          <w:sz w:val="44"/>
        </w:rPr>
        <w:t>研究课题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 w:val="0"/>
          <w:bCs/>
          <w:sz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lang w:val="en-US" w:eastAsia="zh-CN"/>
        </w:rPr>
        <w:t>1、2018年宁波市企业营商环境白皮书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从投资环境（包括但不限于对外资开放度、民间资本准入、中介服务）、国际贸易环境（包括但不限于口岸便利化、支持企业开拓国际市场）、生产经营环境（包括但不限于企业运营成本、企业税费负担、企业融资）、创业创新环境（包括但不限于创业创新支撑体系、人力资源、外籍人才出入境便利化、人才公共服务体系、知识产权保护）、法制环境（包括但不限于营商环境司法保障、事中事后监管、社会信用体系建设）、政务服务环境（包括但不限于办事审批集成化标准化、商事登记制度）等多维度梳理我市企业营商环境，编制宁波市企业营商环境白皮书，其中须包括以世界银行营商环境评价体系为参照，对我市营商环境进行评价，并总结国内先进省市在改善企业营商环境方面的先进经验，对我市继续改善企业营商环境给予意见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研究费用：20万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  <w:lang w:val="en-US" w:eastAsia="zh-CN"/>
        </w:rPr>
        <w:t>2</w:t>
      </w:r>
      <w:r>
        <w:rPr>
          <w:rFonts w:hint="eastAsia" w:ascii="黑体" w:hAnsi="黑体" w:eastAsia="黑体"/>
          <w:b w:val="0"/>
          <w:bCs/>
          <w:sz w:val="32"/>
        </w:rPr>
        <w:t>、宁波市小微企业</w:t>
      </w:r>
      <w:r>
        <w:rPr>
          <w:rFonts w:hint="eastAsia" w:ascii="黑体" w:hAnsi="黑体" w:eastAsia="黑体"/>
          <w:b w:val="0"/>
          <w:bCs/>
          <w:sz w:val="32"/>
          <w:lang w:eastAsia="zh-CN"/>
        </w:rPr>
        <w:t>创业创新</w:t>
      </w:r>
      <w:r>
        <w:rPr>
          <w:rFonts w:hint="eastAsia" w:ascii="黑体" w:hAnsi="黑体" w:eastAsia="黑体"/>
          <w:b w:val="0"/>
          <w:bCs/>
          <w:sz w:val="32"/>
        </w:rPr>
        <w:t>服务券</w:t>
      </w:r>
      <w:r>
        <w:rPr>
          <w:rFonts w:hint="eastAsia" w:ascii="黑体" w:hAnsi="黑体" w:eastAsia="黑体"/>
          <w:b w:val="0"/>
          <w:bCs/>
          <w:sz w:val="32"/>
          <w:lang w:eastAsia="zh-CN"/>
        </w:rPr>
        <w:t>成效、问题、需求及改进对策调查研究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通过调研，结合我市开展小微企业服务券工作的相关文件和工作目标，总结评估开展服务券工作的成效、提炼其中好的做法（特别是我市独有的做法），总结存在的问题，并提出针对性的改进措施；进一步</w:t>
      </w:r>
      <w:r>
        <w:rPr>
          <w:rFonts w:hint="eastAsia" w:ascii="仿宋_GB2312" w:hAnsi="宋体" w:eastAsia="仿宋_GB2312"/>
          <w:color w:val="000000"/>
          <w:kern w:val="0"/>
          <w:sz w:val="32"/>
        </w:rPr>
        <w:t>调查摸清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我</w:t>
      </w:r>
      <w:r>
        <w:rPr>
          <w:rFonts w:hint="eastAsia" w:ascii="仿宋_GB2312" w:hAnsi="宋体" w:eastAsia="仿宋_GB2312"/>
          <w:color w:val="000000"/>
          <w:kern w:val="0"/>
          <w:sz w:val="32"/>
        </w:rPr>
        <w:t>市小微企业在购买服务过程中对服务券的有效需求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及新趋势；总结国内对标省市开展服务券工作先进经验，针对我市在双创基地城市示范期结束后,服务券政策持续开展的必要性和可行性，结合形成服务交易市场的长效化运营机制，提出具体做法和建议。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研究费用：</w:t>
      </w: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13万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 w:val="0"/>
          <w:bCs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32"/>
          <w:lang w:val="en-US" w:eastAsia="zh-CN"/>
        </w:rPr>
        <w:t>3、提升宁波市中小企业公共服务平台网络服务能力和运营能力的研究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在分析我市中小企业公共服务平台网络现状的基础上，结合国内对标城市在公共服务平台网络服务和运营方面的先进做法、我市在新形势下对中小企业公共服务平台网络的新要求，及移动互联技术、大数据技术发展新背景，聚焦“政策云”，对提升平台网络作用、提升市场化服务水平、激发平台网络积极性提出针对性建议，并对下一步宁波企服平台网络通过做强枢纽、拓展窗口、充足供给等工作开展推动运营架构扩容为“一十百千万”（即1个总枢纽平台、10个县级枢纽平台、100个左右窗口平台及双创基地、1000家服务供给机构和30万家企业）提出具体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研究费用：13万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0083A"/>
    <w:rsid w:val="0DFD149F"/>
    <w:rsid w:val="1FCF0EC6"/>
    <w:rsid w:val="2900083A"/>
    <w:rsid w:val="2FC42C96"/>
    <w:rsid w:val="31E949B0"/>
    <w:rsid w:val="3D5E3504"/>
    <w:rsid w:val="475F395A"/>
    <w:rsid w:val="70FF3166"/>
    <w:rsid w:val="7AFE765B"/>
    <w:rsid w:val="7D9B1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2018-03-13T09:01:00Z</dcterms:created>
  <dc:creator>windows</dc:creator>
  <cp:lastModifiedBy>windows</cp:lastModifiedBy>
  <cp:lastPrinted>2018-04-09T08:01:00Z</cp:lastPrinted>
  <dcterms:modified xsi:type="dcterms:W3CDTF">2018-04-13T02:31:09Z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